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sz w:val="48"/>
          <w:szCs w:val="48"/>
        </w:rPr>
        <w:t>Time-table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22 July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color w:val="0000FF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>Morning Session</w:t>
      </w:r>
      <w:r>
        <w:rPr>
          <w:color w:val="0000FF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u w:val="single"/>
        </w:rPr>
        <w:t>09:50 – 13:30</w:t>
      </w:r>
    </w:p>
    <w:p>
      <w:pPr>
        <w:pStyle w:val="Normal"/>
        <w:tabs>
          <w:tab w:val="left" w:pos="591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7030A0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color w:val="7030A0"/>
          <w:sz w:val="16"/>
          <w:szCs w:val="16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Anton Godizov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Vladimir Petrov (</w:t>
      </w:r>
      <w:r>
        <w:rPr>
          <w:rFonts w:eastAsia="Times New Roman" w:cs="Times New Roman" w:ascii="Times New Roman" w:hAnsi="Times New Roman"/>
          <w:sz w:val="28"/>
          <w:szCs w:val="28"/>
        </w:rPr>
        <w:t>NRC “Kurchatov Institute” - IHEP, Protvino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09:50 - 10:00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 xml:space="preserve">Introductory greeting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Mikhail Ryskin (</w:t>
      </w:r>
      <w:r>
        <w:rPr>
          <w:rFonts w:eastAsia="Times New Roman" w:cs="Times New Roman" w:ascii="Times New Roman" w:hAnsi="Times New Roman"/>
          <w:sz w:val="28"/>
          <w:szCs w:val="28"/>
        </w:rPr>
        <w:t>NRC “Kurchatov Institute” - PNPI, St. Petersburg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10:00 - 10:40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Modern status of diffractive studies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Emerson Luna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</w:t>
      </w:r>
      <w:r>
        <w:rPr>
          <w:rFonts w:eastAsia="Times New Roman" w:cs="Times New Roman" w:ascii="Times New Roman" w:hAnsi="Times New Roman"/>
          <w:sz w:val="26"/>
          <w:szCs w:val="26"/>
        </w:rPr>
        <w:t>Federal University of Rio Grande do Sul, Porto Alegre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10:45 - 11:25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Unitarity effects in high-energy elastic scattering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A933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LM Roman Demi 10" w:hAnsi="LM Roman Demi 10" w:eastAsia="LM Roman Demi 10" w:cs="LM Roman Demi 10"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Coffee break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11:30-12:00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Anton Godizov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Akira Watanabe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(National Institute of Technology, Oshima College)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12:00-12:40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Elastic proton-proton and pion-proton scattering in holographic QCD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Oueslati Rami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(Université de Liege)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12:45-13:25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 xml:space="preserve">Pomeron weights in QCD processes at high energy and the S-Matrix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unitarity constraint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A933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Lunch  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13:30-15:00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16"/>
          <w:szCs w:val="16"/>
          <w:vertAlign w:val="superscript"/>
        </w:rPr>
      </w:pPr>
      <w:r>
        <w:rPr>
          <w:rFonts w:eastAsia="Times New Roman" w:cs="Times New Roman" w:ascii="Times New Roman" w:hAnsi="Times New Roman"/>
          <w:b/>
          <w:i/>
          <w:sz w:val="16"/>
          <w:szCs w:val="16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>Afternoon Session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u w:val="single"/>
        </w:rPr>
        <w:t>15:00-18:45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7030A0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color w:val="7030A0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Roman Ryutin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0" w:name="_sjmw4gwd2l71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Sergei Troshin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(NRC “Kurchatov Institute” - IHEP,  Protvino) 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15:00-15:40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Multiplicity distribution and the reflective scattering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Vladimir Vechernin (</w:t>
      </w:r>
      <w:r>
        <w:rPr>
          <w:rFonts w:eastAsia="Times New Roman" w:cs="Times New Roman" w:ascii="Times New Roman" w:hAnsi="Times New Roman"/>
          <w:sz w:val="28"/>
          <w:szCs w:val="28"/>
        </w:rPr>
        <w:t>St. Petersburg State University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15:45-16:25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Enhancement of the coalescence coefficient in diffraction processes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3FAF4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Coffee break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16:25-16:45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C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C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Chairman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: Roman Ryutin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Vladimir Kovalenko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(St. Petersburg State University)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16:45-17:25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Multiplicity distributions and modified combinants in the multipomeron</w:t>
      </w:r>
    </w:p>
    <w:p>
      <w:pPr>
        <w:pStyle w:val="Normal"/>
        <w:tabs>
          <w:tab w:val="center" w:pos="5457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model of pp Interaction at High Energies</w:t>
      </w:r>
    </w:p>
    <w:p>
      <w:pPr>
        <w:pStyle w:val="Normal"/>
        <w:tabs>
          <w:tab w:val="center" w:pos="545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u w:val="single"/>
        </w:rPr>
        <w:t>GENERAL DISCUSSION</w:t>
      </w:r>
      <w:r>
        <w:rPr>
          <w:rFonts w:eastAsia="Times New Roman" w:cs="Times New Roman" w:ascii="Times New Roman" w:hAnsi="Times New Roman"/>
          <w:b/>
          <w:color w:val="3FAF46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17:30-18:30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Discussion leader: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 Vladimir Petrov 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30A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23 July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>Morning Session</w:t>
      </w:r>
      <w:r>
        <w:rPr>
          <w:color w:val="0000FF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u w:val="single"/>
        </w:rPr>
        <w:t>10:00-13:30</w:t>
      </w:r>
    </w:p>
    <w:p>
      <w:pPr>
        <w:pStyle w:val="Normal"/>
        <w:spacing w:lineRule="auto" w:line="240" w:before="0" w:after="0"/>
        <w:jc w:val="center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>Anatoli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Samokhin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Eugeny Kryshen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(NRC “Kurchatov Institute” - PNPI,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St. Petersburg &amp; JINR, Dubna)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10:00-10:40</w:t>
      </w:r>
    </w:p>
    <w:p>
      <w:pPr>
        <w:pStyle w:val="Normal"/>
        <w:tabs>
          <w:tab w:val="center" w:pos="545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Ultra peripheral collisions at ALICE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Oleg Selyugin </w:t>
      </w:r>
      <w:r>
        <w:rPr>
          <w:rFonts w:eastAsia="Times New Roman" w:cs="Times New Roman" w:ascii="Times New Roman" w:hAnsi="Times New Roman"/>
          <w:sz w:val="28"/>
          <w:szCs w:val="28"/>
        </w:rPr>
        <w:t>(JINR, Dubna)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 xml:space="preserve">OFFLINE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10:45-11:25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Unified description of elastic hadron scattering at low and high energies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Coffee break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11:30-12:00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C00000"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color w:val="C00000"/>
          <w:sz w:val="16"/>
          <w:szCs w:val="16"/>
          <w:u w:val="single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Anatoli Samokhin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Haimon Trebien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(Universidade Federal de Santa Catarina, Florianópolis)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ONLINE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12:00-12:40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A933"/>
          <w:sz w:val="28"/>
          <w:szCs w:val="28"/>
        </w:rPr>
      </w:pPr>
      <w:bookmarkStart w:id="1" w:name="_sn2y2rn1o6gj"/>
      <w:bookmarkEnd w:id="1"/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 xml:space="preserve">Coherent photoproduction of light vector mesons off nuclear targets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A9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in the dipole picture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SangHo Kim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(Soongsil University,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 w:val="false"/>
          <w:sz w:val="28"/>
          <w:szCs w:val="28"/>
        </w:rPr>
        <w:t>Seoul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                 12:45-13:25</w:t>
      </w:r>
    </w:p>
    <w:p>
      <w:pPr>
        <w:pStyle w:val="Normal"/>
        <w:spacing w:lineRule="auto" w:line="240" w:before="0" w:after="0"/>
        <w:rPr>
          <w:rFonts w:ascii="LM Roman Demi 10" w:hAnsi="LM Roman Demi 10" w:eastAsia="LM Roman Demi 10" w:cs="LM Roman Demi 10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J/Ψ -meson photoproduction off the nucleon in a dynamical model</w:t>
      </w:r>
    </w:p>
    <w:p>
      <w:pPr>
        <w:pStyle w:val="Normal"/>
        <w:tabs>
          <w:tab w:val="left" w:pos="62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FF0000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color w:val="FF0000"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C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Lunch 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13:30 -15:00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FF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color w:val="0000FF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>Afternoon Session</w:t>
      </w:r>
      <w:r>
        <w:rPr>
          <w:rFonts w:eastAsia="LM Roman Demi 10" w:cs="LM Roman Demi 10" w:ascii="LM Roman Demi 10" w:hAnsi="LM Roman Demi 10"/>
          <w:b/>
          <w:color w:val="0000FF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u w:val="single"/>
        </w:rPr>
        <w:t>15:00-18:45</w:t>
      </w:r>
    </w:p>
    <w:p>
      <w:pPr>
        <w:pStyle w:val="Normal"/>
        <w:spacing w:lineRule="auto" w:line="240" w:before="0" w:after="0"/>
        <w:jc w:val="center"/>
        <w:rPr>
          <w:rFonts w:ascii="LM Roman Demi 10" w:hAnsi="LM Roman Demi 10" w:eastAsia="LM Roman Demi 10" w:cs="LM Roman Demi 10"/>
          <w:b/>
          <w:b/>
          <w:color w:val="0000FF"/>
          <w:sz w:val="16"/>
          <w:szCs w:val="16"/>
        </w:rPr>
      </w:pPr>
      <w:r>
        <w:rPr>
          <w:rFonts w:eastAsia="LM Roman Demi 10" w:cs="LM Roman Demi 10" w:ascii="LM Roman Demi 10" w:hAnsi="LM Roman Demi 10"/>
          <w:b/>
          <w:color w:val="0000FF"/>
          <w:sz w:val="16"/>
          <w:szCs w:val="16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Maxim Evdokimov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>
          <w:rFonts w:ascii="LM Roman Demi 10" w:hAnsi="LM Roman Demi 10" w:eastAsia="LM Roman Demi 10" w:cs="LM Roman Demi 1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Yajin Zhou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(Institute of High Energy Physics, IHEP-UCAS, Beijing)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15:00-15:40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99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9900"/>
          <w:sz w:val="28"/>
          <w:szCs w:val="28"/>
        </w:rPr>
        <w:t xml:space="preserve">Azimuthal modulation in diffractive vector meson/di-jet production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9900"/>
          <w:sz w:val="28"/>
          <w:szCs w:val="28"/>
        </w:rPr>
        <w:t>in ultra-peripheral collisions</w:t>
      </w:r>
    </w:p>
    <w:p>
      <w:pPr>
        <w:pStyle w:val="Normal"/>
        <w:spacing w:lineRule="auto" w:line="240" w:before="0" w:after="0"/>
        <w:rPr>
          <w:rFonts w:ascii="LM Roman Demi 10" w:hAnsi="LM Roman Demi 10" w:eastAsia="LM Roman Demi 10" w:cs="LM Roman Demi 1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Rabia Hameed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(Institute of High Energy Physics, IHEP-UCAS, Beijing)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15:45-16:25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9900"/>
          <w:sz w:val="28"/>
          <w:szCs w:val="28"/>
        </w:rPr>
        <w:t>Single and double diffractive production of dilepton and photon at LHC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A933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Coffee break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16:30-17:00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C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C00000"/>
          <w:sz w:val="16"/>
          <w:szCs w:val="16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Maxim Evdokimov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Rauf Jafarov </w:t>
      </w:r>
      <w:r>
        <w:rPr>
          <w:rFonts w:eastAsia="Times New Roman" w:cs="Times New Roman" w:ascii="Times New Roman" w:hAnsi="Times New Roman"/>
          <w:sz w:val="28"/>
          <w:szCs w:val="28"/>
        </w:rPr>
        <w:t>(Baku State University)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ONLINE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 xml:space="preserve">                    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17:00-17:40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Higgs bosons production and scattering processes beyond the perturbation theory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2" w:name="_r39fzj6892u5"/>
      <w:bookmarkEnd w:id="2"/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Jing Xu Wu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(Moscow State University)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17:45-18:25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3FAF4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 xml:space="preserve">Chiral symmetry, Conformal breaking, and transport coefficients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in the two-flavour PNJL theory.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3FAF4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</w:r>
    </w:p>
    <w:p>
      <w:pPr>
        <w:pStyle w:val="Normal"/>
        <w:spacing w:lineRule="auto" w:line="240" w:before="0" w:after="0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u w:val="single"/>
        </w:rPr>
        <w:t>GENERAL DISCUSSION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18.30 -19:30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Discussion leader: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Vladimir Petrov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40"/>
          <w:szCs w:val="40"/>
        </w:rPr>
        <w:t xml:space="preserve">24 July </w:t>
      </w:r>
    </w:p>
    <w:p>
      <w:pPr>
        <w:pStyle w:val="Normal"/>
        <w:tabs>
          <w:tab w:val="left" w:pos="6000" w:leader="none"/>
        </w:tabs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40"/>
          <w:szCs w:val="40"/>
        </w:rPr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>Morning Session</w:t>
      </w:r>
      <w:r>
        <w:rPr>
          <w:b/>
          <w:color w:val="0000FF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u w:val="single"/>
        </w:rPr>
        <w:t>10:00-13:30</w:t>
      </w:r>
    </w:p>
    <w:p>
      <w:pPr>
        <w:pStyle w:val="Normal"/>
        <w:spacing w:lineRule="auto" w:line="240" w:before="0" w:after="0"/>
        <w:jc w:val="center"/>
        <w:rPr>
          <w:b/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Alexander Kisselev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Viktor Kim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(NRC “Kurchatov Institute” - PNPI, St. Petersburg)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10: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00-10:40</w:t>
      </w:r>
    </w:p>
    <w:p>
      <w:pPr>
        <w:pStyle w:val="Normal"/>
        <w:spacing w:lineRule="auto" w:line="240" w:before="0" w:after="0"/>
        <w:rPr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Regge trajectories in QCD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Lucas Moriggi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(UNICENTRO, Brazil)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10:45-11:25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Precise determination of pomeron intercept via scaling entropy analysis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A933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8"/>
          <w:szCs w:val="28"/>
          <w:u w:val="single"/>
        </w:rPr>
      </w:pPr>
      <w:bookmarkStart w:id="3" w:name="_abv26vmd0lwl"/>
      <w:bookmarkEnd w:id="3"/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Coffee break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11:30-12:00</w:t>
      </w:r>
    </w:p>
    <w:p>
      <w:pPr>
        <w:pStyle w:val="Normal"/>
        <w:tabs>
          <w:tab w:val="left" w:pos="5004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C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C00000"/>
          <w:sz w:val="16"/>
          <w:szCs w:val="16"/>
        </w:rPr>
        <w:tab/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Alexander Kisselev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Roman Ryutin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(NRC “Kurchatov Institute” - IHEP,  Protvino)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12:00-12:40</w:t>
      </w:r>
    </w:p>
    <w:p>
      <w:pPr>
        <w:pStyle w:val="Normal"/>
        <w:spacing w:lineRule="auto" w:line="240" w:before="0" w:after="0"/>
        <w:rPr>
          <w:rFonts w:ascii="LM Roman Demi 10" w:hAnsi="LM Roman Demi 10" w:eastAsia="LM Roman Demi 10" w:cs="LM Roman Demi 10"/>
          <w:b/>
          <w:b/>
          <w:color w:val="0000FF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9900"/>
          <w:sz w:val="28"/>
          <w:szCs w:val="28"/>
        </w:rPr>
        <w:t>Covariant reggeization framework for diffraction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Vitaly Okorokov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(National Research Nuclear University MEPhI, Russia)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12:45-13:25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 xml:space="preserve">Energy dependence of cross sections in proton-proton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and antiproton-proton collisions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Lunch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13:30-15:00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FF"/>
          <w:sz w:val="16"/>
          <w:szCs w:val="16"/>
          <w:vertAlign w:val="superscript"/>
        </w:rPr>
      </w:pPr>
      <w:r>
        <w:rPr>
          <w:rFonts w:eastAsia="Times New Roman" w:cs="Times New Roman" w:ascii="Times New Roman" w:hAnsi="Times New Roman"/>
          <w:b/>
          <w:color w:val="0000FF"/>
          <w:sz w:val="16"/>
          <w:szCs w:val="16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>Afternoon Session</w:t>
      </w:r>
      <w:r>
        <w:rPr>
          <w:b/>
          <w:color w:val="0000FF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  <w:u w:val="single"/>
        </w:rPr>
        <w:t>15:00-18:45</w:t>
      </w:r>
    </w:p>
    <w:p>
      <w:pPr>
        <w:pStyle w:val="Normal"/>
        <w:spacing w:lineRule="auto" w:line="240" w:before="0" w:after="0"/>
        <w:jc w:val="center"/>
        <w:rPr>
          <w:b/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p>
      <w:pPr>
        <w:pStyle w:val="Normal"/>
        <w:tabs>
          <w:tab w:val="left" w:pos="591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Chairman: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Anton Godizov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NRC “Kurchatov Institute” - IHEP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Yuri Khokhlov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(NRC “Kurchatov Institute” - IHEP,  Protvino)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15:00-15:40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Recent experimental results on charge exchange reactions with VES setup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Dmitri Sosnov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>NRC “Kurchatov Institute” - PNPI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St. Petersburg)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15:40-16:20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 xml:space="preserve">Pomeron- and photon- exchange contributions in proton-nuclear collisions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with large rapidity gaps at the LHC energies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Érison Rocha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(University of Rio Grande do Sul, Porto Alegre)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ONLINE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  <w:t xml:space="preserve">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16:20-17:00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A9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 xml:space="preserve">Light vector meson photoproduction in ultraperipheral heavy ion collisions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  <w:t>at the LHC within the Reggeometric Pomeron approach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A9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A933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 xml:space="preserve">Coffee break </w:t>
      </w:r>
      <w:r>
        <w:rPr>
          <w:rFonts w:eastAsia="Times New Roman" w:cs="Times New Roman" w:ascii="Times New Roman" w:hAnsi="Times New Roman"/>
          <w:b/>
          <w:color w:val="C00000"/>
          <w:sz w:val="28"/>
          <w:szCs w:val="28"/>
          <w:u w:val="single"/>
        </w:rPr>
        <w:t>17:00-17:20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C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C0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/>
      </w:pPr>
      <w:bookmarkStart w:id="4" w:name="_szoy5xfadn9i"/>
      <w:bookmarkEnd w:id="4"/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Vladimir Petrov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(NRC “Kurchatov Institute” - IHEP,  Protvino) </w:t>
      </w:r>
      <w:r>
        <w:rPr>
          <w:rFonts w:eastAsia="Times New Roman" w:cs="Times New Roman" w:ascii="Times New Roman" w:hAnsi="Times New Roman"/>
          <w:b/>
          <w:color w:val="0000FF"/>
          <w:sz w:val="24"/>
          <w:szCs w:val="24"/>
        </w:rPr>
        <w:t>OFFLINE</w:t>
      </w:r>
      <w:r>
        <w:rPr>
          <w:rFonts w:eastAsia="Times New Roman" w:cs="Times New Roman" w:ascii="Times New Roman" w:hAnsi="Times New Roman"/>
          <w:b/>
          <w:color w:val="0000FF"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17:20-18:00</w:t>
      </w:r>
    </w:p>
    <w:p>
      <w:pPr>
        <w:pStyle w:val="Normal"/>
        <w:spacing w:lineRule="auto" w:line="240" w:before="0" w:after="0"/>
        <w:rPr>
          <w:color w:val="3FAF46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3FAF46"/>
          <w:sz w:val="28"/>
          <w:szCs w:val="28"/>
        </w:rPr>
        <w:t>On sizes of hadrons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bookmarkStart w:id="5" w:name="_xsc0nr8w2bks"/>
      <w:bookmarkStart w:id="6" w:name="_xsc0nr8w2bks"/>
      <w:bookmarkEnd w:id="6"/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u w:val="single"/>
        </w:rPr>
        <w:t>GENERAL DISCUSSION &amp; SUMMARY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18:00-19:00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 xml:space="preserve">Discussion leader: </w:t>
      </w:r>
      <w:r>
        <w:rPr>
          <w:rFonts w:eastAsia="Times New Roman" w:cs="Times New Roman" w:ascii="Times New Roman" w:hAnsi="Times New Roman"/>
          <w:b/>
          <w:i/>
          <w:color w:val="7030A0"/>
          <w:sz w:val="24"/>
          <w:szCs w:val="24"/>
        </w:rPr>
        <w:t xml:space="preserve">Viktor Kim 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7030A0"/>
          <w:sz w:val="24"/>
          <w:szCs w:val="24"/>
        </w:rPr>
        <w:t>INP NRC KI, St. Petersburg</w:t>
      </w:r>
      <w:r>
        <w:rPr>
          <w:rFonts w:eastAsia="Times New Roman" w:cs="Times New Roman" w:ascii="Times New Roman" w:hAnsi="Times New Roman"/>
          <w:b/>
          <w:color w:val="7030A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C00000"/>
          <w:sz w:val="36"/>
          <w:szCs w:val="36"/>
        </w:rPr>
        <w:t>Farewell drink</w:t>
      </w:r>
      <w:r>
        <w:rPr>
          <w:rFonts w:eastAsia="Times New Roman" w:cs="Times New Roman"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color w:val="C00000"/>
          <w:sz w:val="36"/>
          <w:szCs w:val="36"/>
          <w:u w:val="single"/>
        </w:rPr>
        <w:t>19:00-21:00</w:t>
      </w:r>
    </w:p>
    <w:sectPr>
      <w:footerReference w:type="default" r:id="rId2"/>
      <w:type w:val="nextPage"/>
      <w:pgSz w:w="11906" w:h="16838"/>
      <w:pgMar w:left="709" w:right="282" w:header="0" w:top="568" w:footer="1134" w:bottom="1686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LM Roman Demi 10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tabs>
        <w:tab w:val="center" w:pos="5457" w:leader="none"/>
        <w:tab w:val="right" w:pos="10915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FFFFFF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200"/>
    </w:pPr>
    <w:rPr>
      <w:rFonts w:ascii="Calibri" w:hAnsi="Calibri" w:eastAsia="Calibri" w:cs="Calibri"/>
      <w:color w:val="00000A"/>
      <w:sz w:val="22"/>
      <w:szCs w:val="22"/>
      <w:lang w:val="en" w:eastAsia="zh-CN" w:bidi="hi-IN"/>
    </w:rPr>
  </w:style>
  <w:style w:type="paragraph" w:styleId="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/>
      <w:spacing w:lineRule="auto" w:line="240" w:before="200" w:after="120"/>
    </w:pPr>
    <w:rPr>
      <w:rFonts w:ascii="Liberation Serif" w:hAnsi="Liberation Serif" w:eastAsia="Liberation Serif" w:cs="Liberation Serif"/>
      <w:b/>
      <w:sz w:val="36"/>
      <w:szCs w:val="36"/>
    </w:rPr>
  </w:style>
  <w:style w:type="paragraph" w:styleId="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9">
    <w:name w:val="Body Text"/>
    <w:basedOn w:val="Normal"/>
    <w:pPr>
      <w:spacing w:lineRule="auto" w:line="288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en" w:eastAsia="zh-CN" w:bidi="hi-IN"/>
    </w:rPr>
  </w:style>
  <w:style w:type="paragraph" w:styleId="Style13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Footer"/>
    <w:basedOn w:val="Normal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638</Words>
  <Characters>4286</Characters>
  <CharactersWithSpaces>5709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2025-07-21T12:19:52Z</dcterms:modified>
  <cp:revision>1</cp:revision>
  <dc:subject/>
  <dc:title/>
</cp:coreProperties>
</file>